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45" w:rsidRPr="004E51F6" w:rsidRDefault="00696945" w:rsidP="00696945">
      <w:pPr>
        <w:pStyle w:val="a3"/>
        <w:rPr>
          <w:rFonts w:ascii="Times New Roman" w:hAnsi="Times New Roman" w:cs="Times New Roman"/>
          <w:b/>
          <w:color w:val="365F91" w:themeColor="accent1" w:themeShade="BF"/>
          <w:lang w:val="uk-UA"/>
        </w:rPr>
      </w:pPr>
      <w:r w:rsidRPr="004E51F6">
        <w:rPr>
          <w:rFonts w:ascii="Times New Roman" w:hAnsi="Times New Roman" w:cs="Times New Roman"/>
          <w:b/>
          <w:color w:val="365F91" w:themeColor="accent1" w:themeShade="BF"/>
          <w:lang w:val="uk-UA"/>
        </w:rPr>
        <w:t xml:space="preserve">Про </w:t>
      </w:r>
      <w:r>
        <w:rPr>
          <w:rFonts w:ascii="Times New Roman" w:hAnsi="Times New Roman" w:cs="Times New Roman"/>
          <w:b/>
          <w:color w:val="365F91" w:themeColor="accent1" w:themeShade="BF"/>
          <w:lang w:val="uk-UA"/>
        </w:rPr>
        <w:t>зміни в порядку набуття права на виконання будівельних робіт</w:t>
      </w:r>
      <w:r w:rsidRPr="004E51F6">
        <w:rPr>
          <w:rFonts w:ascii="Times New Roman" w:hAnsi="Times New Roman" w:cs="Times New Roman"/>
          <w:b/>
          <w:color w:val="365F91" w:themeColor="accent1" w:themeShade="BF"/>
          <w:lang w:val="uk-UA"/>
        </w:rPr>
        <w:t>.</w:t>
      </w:r>
    </w:p>
    <w:p w:rsidR="00696945" w:rsidRDefault="00696945" w:rsidP="00696945">
      <w:pPr>
        <w:ind w:firstLine="708"/>
        <w:jc w:val="both"/>
        <w:rPr>
          <w:lang w:val="uk-UA"/>
        </w:rPr>
      </w:pPr>
      <w:r>
        <w:rPr>
          <w:lang w:val="uk-UA"/>
        </w:rPr>
        <w:t>Заяви урядовців про ліквідацію Державної архітектурно-будівельної інспекції України (далі - ДАБІ) нарешті матеріалізувалися. Постановою Кабінету Міністрів України від 13 березня 2020 року №218 (далі – постанова 218) ДАБІ ліквідована.</w:t>
      </w:r>
    </w:p>
    <w:p w:rsidR="00696945" w:rsidRDefault="00696945" w:rsidP="00696945">
      <w:pPr>
        <w:ind w:firstLine="708"/>
        <w:jc w:val="both"/>
        <w:rPr>
          <w:lang w:val="uk-UA"/>
        </w:rPr>
      </w:pPr>
      <w:r>
        <w:rPr>
          <w:lang w:val="uk-UA"/>
        </w:rPr>
        <w:t xml:space="preserve">Одночасно прийняту ще одну постанову, теж від 13 березня 2020 року, №219 (далі – постанова 219) з промовистою назвою «Про </w:t>
      </w:r>
      <w:r w:rsidRPr="00CB4AC3">
        <w:rPr>
          <w:lang w:val="uk-UA"/>
        </w:rPr>
        <w:t>оптимізацію органів державного архітектурно-будівельного контролю та нагляду</w:t>
      </w:r>
      <w:r>
        <w:rPr>
          <w:lang w:val="uk-UA"/>
        </w:rPr>
        <w:t xml:space="preserve">». Точніше було б «системи органів», але то вже не так і важливо у наш </w:t>
      </w:r>
      <w:proofErr w:type="spellStart"/>
      <w:r>
        <w:rPr>
          <w:lang w:val="uk-UA"/>
        </w:rPr>
        <w:t>турбоперіод</w:t>
      </w:r>
      <w:proofErr w:type="spellEnd"/>
      <w:r>
        <w:rPr>
          <w:lang w:val="uk-UA"/>
        </w:rPr>
        <w:t>.</w:t>
      </w:r>
    </w:p>
    <w:p w:rsidR="00696945" w:rsidRDefault="00696945" w:rsidP="00696945">
      <w:pPr>
        <w:ind w:firstLine="708"/>
        <w:jc w:val="both"/>
        <w:rPr>
          <w:color w:val="984806" w:themeColor="accent6" w:themeShade="80"/>
          <w:lang w:val="uk-UA"/>
        </w:rPr>
      </w:pPr>
      <w:r>
        <w:rPr>
          <w:color w:val="984806" w:themeColor="accent6" w:themeShade="80"/>
          <w:lang w:val="uk-UA"/>
        </w:rPr>
        <w:t xml:space="preserve">Зазначеними постановами прийнято стільки несподіваних і неоднозначних рішень, що для того, щоб розібратися з ними потрібно немало часу. Тому поступово, у прикладному форматі. У цій публікації про зміни, з якими прийдеться зіштовхнутися замовникам для набуття права на виконання будівельних робіт. Розділимо їх на: </w:t>
      </w:r>
      <w:r w:rsidRPr="00961A62">
        <w:rPr>
          <w:b/>
          <w:color w:val="984806" w:themeColor="accent6" w:themeShade="80"/>
          <w:lang w:val="uk-UA"/>
        </w:rPr>
        <w:t>організаційні, технічні і процедурні</w:t>
      </w:r>
      <w:r>
        <w:rPr>
          <w:color w:val="984806" w:themeColor="accent6" w:themeShade="80"/>
          <w:lang w:val="uk-UA"/>
        </w:rPr>
        <w:t>.</w:t>
      </w:r>
    </w:p>
    <w:p w:rsidR="00696945" w:rsidRDefault="00696945" w:rsidP="00696945">
      <w:pPr>
        <w:ind w:firstLine="708"/>
        <w:jc w:val="both"/>
        <w:rPr>
          <w:color w:val="984806" w:themeColor="accent6" w:themeShade="80"/>
          <w:lang w:val="uk-UA"/>
        </w:rPr>
      </w:pPr>
      <w:r w:rsidRPr="00F136A1">
        <w:rPr>
          <w:b/>
          <w:smallCaps/>
          <w:color w:val="984806" w:themeColor="accent6" w:themeShade="80"/>
          <w:sz w:val="32"/>
          <w:szCs w:val="32"/>
          <w:lang w:val="uk-UA"/>
        </w:rPr>
        <w:t>Організаційні питання</w:t>
      </w:r>
      <w:r>
        <w:rPr>
          <w:color w:val="984806" w:themeColor="accent6" w:themeShade="80"/>
          <w:lang w:val="uk-UA"/>
        </w:rPr>
        <w:t>.</w:t>
      </w:r>
    </w:p>
    <w:p w:rsidR="00696945" w:rsidRPr="0003607C" w:rsidRDefault="00696945" w:rsidP="00696945">
      <w:pPr>
        <w:ind w:firstLine="708"/>
        <w:jc w:val="both"/>
        <w:rPr>
          <w:b/>
          <w:lang w:val="uk-UA"/>
        </w:rPr>
      </w:pPr>
      <w:r w:rsidRPr="0003607C">
        <w:rPr>
          <w:b/>
          <w:lang w:val="uk-UA"/>
        </w:rPr>
        <w:t xml:space="preserve">Спочатку про структуру документів, якими надається право на виконання </w:t>
      </w:r>
      <w:r>
        <w:rPr>
          <w:b/>
          <w:lang w:val="uk-UA"/>
        </w:rPr>
        <w:t xml:space="preserve">підготовчих та/або </w:t>
      </w:r>
      <w:r w:rsidRPr="0003607C">
        <w:rPr>
          <w:b/>
          <w:lang w:val="uk-UA"/>
        </w:rPr>
        <w:t>будівельних робіт</w:t>
      </w:r>
      <w:r>
        <w:rPr>
          <w:b/>
          <w:lang w:val="uk-UA"/>
        </w:rPr>
        <w:t xml:space="preserve"> </w:t>
      </w:r>
      <w:r w:rsidRPr="00961A62">
        <w:rPr>
          <w:lang w:val="uk-UA"/>
        </w:rPr>
        <w:t>(далі – будівельних робіт).</w:t>
      </w:r>
    </w:p>
    <w:p w:rsidR="00696945" w:rsidRDefault="00696945" w:rsidP="00696945">
      <w:pPr>
        <w:ind w:firstLine="708"/>
        <w:jc w:val="both"/>
        <w:rPr>
          <w:lang w:val="uk-UA"/>
        </w:rPr>
      </w:pPr>
      <w:r>
        <w:rPr>
          <w:lang w:val="uk-UA"/>
        </w:rPr>
        <w:t xml:space="preserve"> Отже, щоб виконувати будівельні роботи, потрібно набути право на їх виконання. Це робиться як у явний, так і неявний</w:t>
      </w:r>
      <w:r w:rsidRPr="00C0085C">
        <w:rPr>
          <w:lang w:val="uk-UA"/>
        </w:rPr>
        <w:t xml:space="preserve"> </w:t>
      </w:r>
      <w:r>
        <w:rPr>
          <w:lang w:val="uk-UA"/>
        </w:rPr>
        <w:t>спосіб.</w:t>
      </w:r>
    </w:p>
    <w:p w:rsidR="00696945" w:rsidRDefault="00696945" w:rsidP="00696945">
      <w:pPr>
        <w:ind w:firstLine="708"/>
        <w:jc w:val="both"/>
        <w:rPr>
          <w:lang w:val="uk-UA"/>
        </w:rPr>
      </w:pPr>
      <w:r w:rsidRPr="00A071F6">
        <w:rPr>
          <w:b/>
          <w:lang w:val="uk-UA"/>
        </w:rPr>
        <w:t>Явний</w:t>
      </w:r>
      <w:r>
        <w:rPr>
          <w:lang w:val="uk-UA"/>
        </w:rPr>
        <w:t xml:space="preserve"> спосіб, встановлений статтею 34 Закону України «Про регулювання містобудівної діяльності», полягає у:</w:t>
      </w:r>
    </w:p>
    <w:p w:rsidR="00696945" w:rsidRPr="00C0085C" w:rsidRDefault="00696945" w:rsidP="00696945">
      <w:pPr>
        <w:pStyle w:val="a6"/>
        <w:numPr>
          <w:ilvl w:val="0"/>
          <w:numId w:val="1"/>
        </w:numPr>
        <w:jc w:val="both"/>
        <w:rPr>
          <w:lang w:val="uk-UA"/>
        </w:rPr>
      </w:pPr>
      <w:r w:rsidRPr="00C0085C">
        <w:rPr>
          <w:lang w:val="uk-UA"/>
        </w:rPr>
        <w:t>подачі повідомлення про початок  виконання будівельних робіт для об’єктів будівництва, до складу яких входять тільки об'єкт класу відповідальності</w:t>
      </w:r>
      <w:r w:rsidRPr="00281CBE">
        <w:t xml:space="preserve"> СС1</w:t>
      </w:r>
      <w:r>
        <w:rPr>
          <w:lang w:val="uk-UA"/>
        </w:rPr>
        <w:t xml:space="preserve"> або декілька об’єктів класу СС1</w:t>
      </w:r>
      <w:r w:rsidRPr="00281CBE">
        <w:t xml:space="preserve">, </w:t>
      </w:r>
      <w:r w:rsidRPr="00C0085C">
        <w:rPr>
          <w:lang w:val="uk-UA"/>
        </w:rPr>
        <w:t>які за сукупними показниками не перевищують рівень СС1;</w:t>
      </w:r>
    </w:p>
    <w:p w:rsidR="00696945" w:rsidRPr="00C0085C" w:rsidRDefault="00696945" w:rsidP="00696945">
      <w:pPr>
        <w:pStyle w:val="a6"/>
        <w:numPr>
          <w:ilvl w:val="0"/>
          <w:numId w:val="1"/>
        </w:numPr>
        <w:jc w:val="both"/>
        <w:rPr>
          <w:lang w:val="uk-UA"/>
        </w:rPr>
      </w:pPr>
      <w:r w:rsidRPr="00C0085C">
        <w:rPr>
          <w:lang w:val="uk-UA"/>
        </w:rPr>
        <w:t>отриманні дозволу на виконання будівельних робіт на об’єктах будівництва</w:t>
      </w:r>
      <w:r>
        <w:rPr>
          <w:lang w:val="uk-UA"/>
        </w:rPr>
        <w:t>,</w:t>
      </w:r>
      <w:r w:rsidRPr="00C0085C">
        <w:rPr>
          <w:lang w:val="uk-UA"/>
        </w:rPr>
        <w:t xml:space="preserve"> до складу яких входять об'єкти класу відповідальності СС2 або СС3, а також  тільки об'єкти класу СС1, які за сукупними показниками перевищують рівень СС1.</w:t>
      </w:r>
    </w:p>
    <w:p w:rsidR="00696945" w:rsidRDefault="00696945" w:rsidP="00696945">
      <w:pPr>
        <w:ind w:firstLine="708"/>
        <w:jc w:val="both"/>
        <w:rPr>
          <w:lang w:val="uk-UA"/>
        </w:rPr>
      </w:pPr>
      <w:r w:rsidRPr="00A071F6">
        <w:rPr>
          <w:b/>
          <w:lang w:val="uk-UA"/>
        </w:rPr>
        <w:t>Неявний</w:t>
      </w:r>
      <w:r>
        <w:rPr>
          <w:lang w:val="uk-UA"/>
        </w:rPr>
        <w:t xml:space="preserve"> спосіб застосовується </w:t>
      </w:r>
      <w:r w:rsidRPr="00281CBE">
        <w:rPr>
          <w:lang w:val="uk-UA"/>
        </w:rPr>
        <w:t xml:space="preserve"> </w:t>
      </w:r>
      <w:r>
        <w:rPr>
          <w:lang w:val="uk-UA"/>
        </w:rPr>
        <w:t xml:space="preserve">до об’єктів будівництва, включених до Переліку </w:t>
      </w:r>
      <w:r w:rsidRPr="00E56334">
        <w:rPr>
          <w:lang w:val="uk-UA"/>
        </w:rPr>
        <w:t>будівельних робіт, які не потребують документів, що дають право на їх виконання, та після закінчення яких об’єкт не підлягає прийняттю в експлуатацію</w:t>
      </w:r>
      <w:r>
        <w:rPr>
          <w:lang w:val="uk-UA"/>
        </w:rPr>
        <w:t>, затвердженого постановою Кабінету Міністрів України від 7 червня 2017 року №406 (далі – Перелік 406).</w:t>
      </w:r>
      <w:r w:rsidRPr="0003607C">
        <w:rPr>
          <w:lang w:val="uk-UA"/>
        </w:rPr>
        <w:t xml:space="preserve"> </w:t>
      </w:r>
      <w:r>
        <w:rPr>
          <w:lang w:val="uk-UA"/>
        </w:rPr>
        <w:t xml:space="preserve">Право на виконання будівельних </w:t>
      </w:r>
      <w:r>
        <w:rPr>
          <w:lang w:val="uk-UA"/>
        </w:rPr>
        <w:lastRenderedPageBreak/>
        <w:t xml:space="preserve">робіт на таких об’єктах будівництва </w:t>
      </w:r>
      <w:r w:rsidRPr="00961A62">
        <w:rPr>
          <w:b/>
          <w:lang w:val="uk-UA"/>
        </w:rPr>
        <w:t>неявно</w:t>
      </w:r>
      <w:r>
        <w:rPr>
          <w:lang w:val="uk-UA"/>
        </w:rPr>
        <w:t xml:space="preserve"> наступає від моменту затвердження проектної документації</w:t>
      </w:r>
    </w:p>
    <w:p w:rsidR="00696945" w:rsidRDefault="00696945" w:rsidP="00696945">
      <w:pPr>
        <w:ind w:firstLine="708"/>
        <w:jc w:val="both"/>
        <w:rPr>
          <w:lang w:val="uk-UA"/>
        </w:rPr>
      </w:pPr>
      <w:r>
        <w:rPr>
          <w:lang w:val="uk-UA"/>
        </w:rPr>
        <w:t>Тут нічого не змінилося.</w:t>
      </w:r>
    </w:p>
    <w:p w:rsidR="00696945" w:rsidRPr="0003607C" w:rsidRDefault="00696945" w:rsidP="00696945">
      <w:pPr>
        <w:ind w:firstLine="708"/>
        <w:jc w:val="both"/>
        <w:rPr>
          <w:b/>
          <w:lang w:val="uk-UA"/>
        </w:rPr>
      </w:pPr>
      <w:r>
        <w:rPr>
          <w:lang w:val="uk-UA"/>
        </w:rPr>
        <w:t xml:space="preserve"> </w:t>
      </w:r>
      <w:r w:rsidRPr="0003607C">
        <w:rPr>
          <w:b/>
          <w:lang w:val="uk-UA"/>
        </w:rPr>
        <w:t xml:space="preserve">Далі – куди подавати повідомлення про початок будівельних </w:t>
      </w:r>
      <w:r>
        <w:rPr>
          <w:b/>
          <w:lang w:val="uk-UA"/>
        </w:rPr>
        <w:t>робіт або</w:t>
      </w:r>
      <w:r w:rsidRPr="0003607C">
        <w:rPr>
          <w:b/>
          <w:lang w:val="uk-UA"/>
        </w:rPr>
        <w:t xml:space="preserve"> де отримувати </w:t>
      </w:r>
      <w:r>
        <w:rPr>
          <w:b/>
          <w:lang w:val="uk-UA"/>
        </w:rPr>
        <w:t>дозвіл на їх виконання?</w:t>
      </w:r>
    </w:p>
    <w:p w:rsidR="004503CA" w:rsidRDefault="00696945">
      <w:pPr>
        <w:rPr>
          <w:lang w:val="uk-UA"/>
        </w:rPr>
      </w:pPr>
      <w:r>
        <w:rPr>
          <w:lang w:val="uk-UA"/>
        </w:rPr>
        <w:t>….</w:t>
      </w:r>
    </w:p>
    <w:p w:rsidR="00696945" w:rsidRPr="0094201E" w:rsidRDefault="00696945" w:rsidP="00696945">
      <w:pPr>
        <w:ind w:firstLine="708"/>
        <w:jc w:val="both"/>
        <w:rPr>
          <w:color w:val="5F497A" w:themeColor="accent4" w:themeShade="BF"/>
          <w:lang w:val="uk-UA"/>
        </w:rPr>
      </w:pPr>
      <w:r w:rsidRPr="0094201E">
        <w:rPr>
          <w:b/>
          <w:smallCaps/>
          <w:color w:val="5F497A" w:themeColor="accent4" w:themeShade="BF"/>
          <w:sz w:val="32"/>
          <w:szCs w:val="32"/>
          <w:lang w:val="uk-UA"/>
        </w:rPr>
        <w:t>Технічні питання</w:t>
      </w:r>
      <w:r w:rsidRPr="0094201E">
        <w:rPr>
          <w:color w:val="5F497A" w:themeColor="accent4" w:themeShade="BF"/>
          <w:lang w:val="uk-UA"/>
        </w:rPr>
        <w:t>.</w:t>
      </w:r>
    </w:p>
    <w:p w:rsidR="00696945" w:rsidRDefault="00696945" w:rsidP="00696945">
      <w:pPr>
        <w:ind w:firstLine="708"/>
        <w:jc w:val="both"/>
        <w:rPr>
          <w:lang w:val="uk-UA"/>
        </w:rPr>
      </w:pPr>
      <w:r>
        <w:rPr>
          <w:lang w:val="uk-UA"/>
        </w:rPr>
        <w:t xml:space="preserve">Тобто питання, пов’язані зі складом і змістом матеріалів, які подаються для набуття права на виконання будівельних робіт. </w:t>
      </w:r>
    </w:p>
    <w:p w:rsidR="00696945" w:rsidRDefault="00696945" w:rsidP="00696945">
      <w:pPr>
        <w:ind w:firstLine="708"/>
        <w:jc w:val="both"/>
        <w:rPr>
          <w:lang w:val="uk-UA"/>
        </w:rPr>
      </w:pPr>
      <w:r>
        <w:rPr>
          <w:lang w:val="uk-UA"/>
        </w:rPr>
        <w:t xml:space="preserve">Зміни є і не прості. Внесені зміни до </w:t>
      </w:r>
      <w:r w:rsidRPr="00A96916">
        <w:rPr>
          <w:lang w:val="uk-UA"/>
        </w:rPr>
        <w:t xml:space="preserve">Порядку виконання підготовчих та будівельних </w:t>
      </w:r>
      <w:r>
        <w:rPr>
          <w:lang w:val="uk-UA"/>
        </w:rPr>
        <w:t>робіт. Спробуємо розібратися з основними.</w:t>
      </w:r>
    </w:p>
    <w:p w:rsidR="00696945" w:rsidRDefault="00696945" w:rsidP="00696945">
      <w:pPr>
        <w:ind w:firstLine="708"/>
        <w:jc w:val="both"/>
        <w:rPr>
          <w:b/>
          <w:color w:val="0070C0"/>
          <w:lang w:val="uk-UA"/>
        </w:rPr>
      </w:pPr>
      <w:r>
        <w:rPr>
          <w:lang w:val="uk-UA"/>
        </w:rPr>
        <w:t>Перше, що хочеться сказати – нарешті «лід тронувся». У попередніх публікаціях вже доводилося звертати увагу на дублювання дозвільних і контрольних процедур (див. публікацію «</w:t>
      </w:r>
      <w:r w:rsidRPr="002165B1">
        <w:rPr>
          <w:b/>
          <w:color w:val="0070C0"/>
          <w:lang w:val="uk-UA"/>
        </w:rPr>
        <w:t>Коли  здійснюється державний контроль за об’єктом будівництва?</w:t>
      </w:r>
      <w:r>
        <w:rPr>
          <w:b/>
          <w:color w:val="0070C0"/>
          <w:lang w:val="uk-UA"/>
        </w:rPr>
        <w:t>»</w:t>
      </w:r>
    </w:p>
    <w:p w:rsidR="00696945" w:rsidRDefault="00696945" w:rsidP="00696945">
      <w:pPr>
        <w:rPr>
          <w:lang w:val="uk-UA"/>
        </w:rPr>
      </w:pPr>
      <w:r>
        <w:rPr>
          <w:b/>
          <w:color w:val="0070C0"/>
          <w:lang w:val="uk-UA"/>
        </w:rPr>
        <w:t xml:space="preserve"> </w:t>
      </w:r>
      <w:hyperlink r:id="rId5" w:history="1">
        <w:r>
          <w:rPr>
            <w:rStyle w:val="a8"/>
          </w:rPr>
          <w:t>https://bbp.net.ua/issues05/tproduct/160873791-265467789097-koli-zdisnyutsya-derzhavnii-kontrol-za-o</w:t>
        </w:r>
      </w:hyperlink>
    </w:p>
    <w:p w:rsidR="00696945" w:rsidRDefault="00696945" w:rsidP="00696945">
      <w:pPr>
        <w:ind w:firstLine="708"/>
        <w:jc w:val="both"/>
        <w:rPr>
          <w:lang w:val="uk-UA"/>
        </w:rPr>
      </w:pPr>
      <w:r>
        <w:rPr>
          <w:lang w:val="uk-UA"/>
        </w:rPr>
        <w:t>Зокрема, виокремлено частину проектної документації, яка подається для видачі дозволу на виконання будівельних робіт. Порівняємо:</w:t>
      </w:r>
    </w:p>
    <w:p w:rsidR="00696945" w:rsidRPr="007E522D" w:rsidRDefault="00696945" w:rsidP="00696945">
      <w:pPr>
        <w:ind w:firstLine="708"/>
        <w:jc w:val="center"/>
        <w:rPr>
          <w:b/>
          <w:color w:val="365F91" w:themeColor="accent1" w:themeShade="BF"/>
          <w:lang w:val="uk-UA"/>
        </w:rPr>
      </w:pPr>
      <w:r w:rsidRPr="007E522D">
        <w:rPr>
          <w:b/>
          <w:color w:val="365F91" w:themeColor="accent1" w:themeShade="BF"/>
          <w:lang w:val="uk-UA"/>
        </w:rPr>
        <w:t>Порівняння складу документів для отримання дозволу на виконання будівельних робіт</w:t>
      </w:r>
    </w:p>
    <w:tbl>
      <w:tblPr>
        <w:tblStyle w:val="1-11"/>
        <w:tblW w:w="0" w:type="auto"/>
        <w:tblLook w:val="04A0"/>
      </w:tblPr>
      <w:tblGrid>
        <w:gridCol w:w="4503"/>
        <w:gridCol w:w="5244"/>
      </w:tblGrid>
      <w:tr w:rsidR="00696945" w:rsidRPr="00091E69" w:rsidTr="00BC1620">
        <w:trPr>
          <w:cnfStyle w:val="100000000000"/>
        </w:trPr>
        <w:tc>
          <w:tcPr>
            <w:cnfStyle w:val="001000000000"/>
            <w:tcW w:w="4503" w:type="dxa"/>
          </w:tcPr>
          <w:p w:rsidR="00696945" w:rsidRPr="007E522D" w:rsidRDefault="00696945" w:rsidP="00BC1620">
            <w:pPr>
              <w:spacing w:before="240" w:after="240"/>
              <w:jc w:val="center"/>
              <w:rPr>
                <w:b w:val="0"/>
                <w:color w:val="365F91" w:themeColor="accent1" w:themeShade="BF"/>
                <w:lang w:val="uk-UA"/>
              </w:rPr>
            </w:pPr>
            <w:r w:rsidRPr="007E522D">
              <w:rPr>
                <w:color w:val="365F91" w:themeColor="accent1" w:themeShade="BF"/>
                <w:lang w:val="uk-UA"/>
              </w:rPr>
              <w:t>Попередній</w:t>
            </w:r>
          </w:p>
        </w:tc>
        <w:tc>
          <w:tcPr>
            <w:tcW w:w="5244" w:type="dxa"/>
          </w:tcPr>
          <w:p w:rsidR="00696945" w:rsidRPr="007E522D" w:rsidRDefault="00696945" w:rsidP="00BC1620">
            <w:pPr>
              <w:spacing w:before="240" w:after="240"/>
              <w:jc w:val="center"/>
              <w:cnfStyle w:val="100000000000"/>
              <w:rPr>
                <w:b/>
                <w:color w:val="365F91" w:themeColor="accent1" w:themeShade="BF"/>
                <w:lang w:val="uk-UA"/>
              </w:rPr>
            </w:pPr>
            <w:r w:rsidRPr="007E522D">
              <w:rPr>
                <w:b/>
                <w:color w:val="365F91" w:themeColor="accent1" w:themeShade="BF"/>
                <w:lang w:val="uk-UA"/>
              </w:rPr>
              <w:t xml:space="preserve">Новий </w:t>
            </w:r>
          </w:p>
        </w:tc>
      </w:tr>
      <w:tr w:rsidR="00696945" w:rsidRPr="00754F36" w:rsidTr="00BC1620">
        <w:trPr>
          <w:cnfStyle w:val="000000100000"/>
        </w:trPr>
        <w:tc>
          <w:tcPr>
            <w:cnfStyle w:val="001000000000"/>
            <w:tcW w:w="4503" w:type="dxa"/>
          </w:tcPr>
          <w:p w:rsidR="00696945" w:rsidRPr="00754F36" w:rsidRDefault="00696945" w:rsidP="00BC1620">
            <w:pPr>
              <w:pStyle w:val="a9"/>
              <w:spacing w:before="120" w:after="12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4F36">
              <w:rPr>
                <w:rFonts w:ascii="Times New Roman" w:hAnsi="Times New Roman"/>
                <w:b w:val="0"/>
                <w:sz w:val="24"/>
                <w:szCs w:val="24"/>
              </w:rPr>
              <w:t xml:space="preserve">1. Копія документа, що посвідчує </w:t>
            </w:r>
            <w:r w:rsidRPr="00FB21A6">
              <w:rPr>
                <w:rFonts w:ascii="Times New Roman" w:hAnsi="Times New Roman"/>
                <w:sz w:val="24"/>
                <w:szCs w:val="24"/>
              </w:rPr>
              <w:t>право власності чи користування</w:t>
            </w:r>
            <w:r w:rsidRPr="00754F36">
              <w:rPr>
                <w:rFonts w:ascii="Times New Roman" w:hAnsi="Times New Roman"/>
                <w:b w:val="0"/>
                <w:sz w:val="24"/>
                <w:szCs w:val="24"/>
              </w:rPr>
              <w:t xml:space="preserve"> земельною ділянкою, або копія договору суперфіцію.</w:t>
            </w:r>
          </w:p>
          <w:p w:rsidR="00696945" w:rsidRPr="00754F36" w:rsidRDefault="00696945" w:rsidP="00BC1620">
            <w:pPr>
              <w:pStyle w:val="a9"/>
              <w:spacing w:after="120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</w:tcPr>
          <w:p w:rsidR="00696945" w:rsidRPr="00754F36" w:rsidRDefault="00696945" w:rsidP="00BC1620">
            <w:pPr>
              <w:pStyle w:val="a9"/>
              <w:spacing w:before="120" w:after="120"/>
              <w:jc w:val="both"/>
              <w:cnfStyle w:val="000000100000"/>
              <w:rPr>
                <w:sz w:val="24"/>
                <w:szCs w:val="24"/>
              </w:rPr>
            </w:pPr>
            <w:r w:rsidRPr="00754F36">
              <w:rPr>
                <w:sz w:val="24"/>
                <w:szCs w:val="24"/>
                <w:lang w:val="ru-RU"/>
              </w:rPr>
              <w:t xml:space="preserve">1. </w:t>
            </w:r>
            <w:r w:rsidRPr="00754F36">
              <w:rPr>
                <w:rFonts w:ascii="Times New Roman" w:hAnsi="Times New Roman"/>
                <w:sz w:val="24"/>
                <w:szCs w:val="24"/>
              </w:rPr>
              <w:t xml:space="preserve">Витяг (витяги) з Державного реєстру речових прав на нерухоме майно щодо наявного </w:t>
            </w:r>
            <w:r w:rsidRPr="00FB21A6">
              <w:rPr>
                <w:rFonts w:ascii="Times New Roman" w:hAnsi="Times New Roman"/>
                <w:b/>
                <w:sz w:val="24"/>
                <w:szCs w:val="24"/>
              </w:rPr>
              <w:t>права власності або землекористування</w:t>
            </w:r>
            <w:r w:rsidRPr="00754F36">
              <w:rPr>
                <w:rFonts w:ascii="Times New Roman" w:hAnsi="Times New Roman"/>
                <w:sz w:val="24"/>
                <w:szCs w:val="24"/>
              </w:rPr>
              <w:t xml:space="preserve"> земельною ділянкою (земельними ділянками) </w:t>
            </w:r>
            <w:r w:rsidRPr="00437234">
              <w:rPr>
                <w:rFonts w:ascii="Times New Roman" w:hAnsi="Times New Roman"/>
                <w:i/>
                <w:color w:val="4A442A" w:themeColor="background2" w:themeShade="40"/>
                <w:sz w:val="24"/>
                <w:szCs w:val="24"/>
              </w:rPr>
              <w:t xml:space="preserve">(крім випадків, визначених пунктом 7 Порядку виконання підготовчих та будівельних робіт, затвердженого постановою Кабінету Міністрів України від 13 квітня 2011 р. № 466 </w:t>
            </w:r>
            <w:proofErr w:type="spellStart"/>
            <w:r w:rsidRPr="00437234">
              <w:rPr>
                <w:rFonts w:ascii="Times New Roman" w:hAnsi="Times New Roman"/>
                <w:i/>
                <w:color w:val="4A442A" w:themeColor="background2" w:themeShade="40"/>
                <w:sz w:val="24"/>
                <w:szCs w:val="24"/>
              </w:rPr>
              <w:t>“Деякі</w:t>
            </w:r>
            <w:proofErr w:type="spellEnd"/>
            <w:r w:rsidRPr="00437234">
              <w:rPr>
                <w:rFonts w:ascii="Times New Roman" w:hAnsi="Times New Roman"/>
                <w:i/>
                <w:color w:val="4A442A" w:themeColor="background2" w:themeShade="40"/>
                <w:sz w:val="24"/>
                <w:szCs w:val="24"/>
              </w:rPr>
              <w:t xml:space="preserve"> питання виконання підготовчих і будівельних </w:t>
            </w:r>
            <w:proofErr w:type="spellStart"/>
            <w:r w:rsidRPr="00437234">
              <w:rPr>
                <w:rFonts w:ascii="Times New Roman" w:hAnsi="Times New Roman"/>
                <w:i/>
                <w:color w:val="4A442A" w:themeColor="background2" w:themeShade="40"/>
                <w:sz w:val="24"/>
                <w:szCs w:val="24"/>
              </w:rPr>
              <w:t>робіт”</w:t>
            </w:r>
            <w:proofErr w:type="spellEnd"/>
            <w:r w:rsidRPr="00437234">
              <w:rPr>
                <w:rFonts w:ascii="Times New Roman" w:hAnsi="Times New Roman"/>
                <w:i/>
                <w:color w:val="4A442A" w:themeColor="background2" w:themeShade="40"/>
                <w:sz w:val="24"/>
                <w:szCs w:val="24"/>
              </w:rPr>
              <w:t>)</w:t>
            </w:r>
          </w:p>
        </w:tc>
      </w:tr>
      <w:tr w:rsidR="00696945" w:rsidRPr="00754F36" w:rsidTr="00BC1620">
        <w:tc>
          <w:tcPr>
            <w:cnfStyle w:val="001000000000"/>
            <w:tcW w:w="4503" w:type="dxa"/>
          </w:tcPr>
          <w:p w:rsidR="00696945" w:rsidRPr="00754F36" w:rsidRDefault="00696945" w:rsidP="00BC1620">
            <w:pPr>
              <w:pStyle w:val="a9"/>
              <w:spacing w:before="12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4F36">
              <w:rPr>
                <w:rFonts w:ascii="Times New Roman" w:hAnsi="Times New Roman"/>
                <w:b w:val="0"/>
                <w:sz w:val="24"/>
                <w:szCs w:val="24"/>
              </w:rPr>
              <w:t xml:space="preserve">2. Копія розпорядчого документа щодо комплексної реконструкції кварталів (мікрорайонів) застарілого житлового фонду у разі здійснення комплексної реконструкції кварталів (мікрорайонів) застарілого житлового фонду на замовлення органів державної </w:t>
            </w:r>
            <w:r w:rsidRPr="00754F3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влади чи органів місцевого самоврядування на відповідних землях державної чи комунальної власності (замість копії документа, що посвідчує право власності чи користування земельною ділянкою).</w:t>
            </w:r>
          </w:p>
          <w:p w:rsidR="00696945" w:rsidRPr="00754F36" w:rsidRDefault="00696945" w:rsidP="00BC1620">
            <w:pPr>
              <w:jc w:val="both"/>
              <w:rPr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696945" w:rsidRPr="00754F36" w:rsidRDefault="00696945" w:rsidP="00BC1620">
            <w:pPr>
              <w:jc w:val="both"/>
              <w:cnfStyle w:val="000000000000"/>
              <w:rPr>
                <w:bCs/>
                <w:sz w:val="24"/>
                <w:szCs w:val="24"/>
                <w:lang w:val="uk-UA"/>
              </w:rPr>
            </w:pPr>
          </w:p>
          <w:p w:rsidR="00696945" w:rsidRDefault="00696945" w:rsidP="00BC1620">
            <w:pPr>
              <w:jc w:val="both"/>
              <w:cnfStyle w:val="000000000000"/>
              <w:rPr>
                <w:bCs/>
                <w:sz w:val="40"/>
                <w:szCs w:val="40"/>
                <w:lang w:val="uk-UA"/>
              </w:rPr>
            </w:pPr>
          </w:p>
          <w:p w:rsidR="00696945" w:rsidRDefault="00696945" w:rsidP="00BC1620">
            <w:pPr>
              <w:jc w:val="both"/>
              <w:cnfStyle w:val="000000000000"/>
              <w:rPr>
                <w:bCs/>
                <w:sz w:val="40"/>
                <w:szCs w:val="40"/>
                <w:lang w:val="uk-UA"/>
              </w:rPr>
            </w:pPr>
          </w:p>
          <w:p w:rsidR="00696945" w:rsidRDefault="00696945" w:rsidP="00BC1620">
            <w:pPr>
              <w:jc w:val="both"/>
              <w:cnfStyle w:val="000000000000"/>
              <w:rPr>
                <w:bCs/>
                <w:sz w:val="40"/>
                <w:szCs w:val="40"/>
                <w:lang w:val="uk-UA"/>
              </w:rPr>
            </w:pPr>
          </w:p>
          <w:p w:rsidR="00696945" w:rsidRPr="00067C9F" w:rsidRDefault="00696945" w:rsidP="00BC1620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C00000"/>
                <w:sz w:val="40"/>
                <w:szCs w:val="40"/>
                <w:lang w:val="uk-UA"/>
              </w:rPr>
            </w:pPr>
            <w:r w:rsidRPr="00067C9F">
              <w:rPr>
                <w:rFonts w:ascii="Arial" w:hAnsi="Arial" w:cs="Arial"/>
                <w:b/>
                <w:bCs/>
                <w:color w:val="C00000"/>
                <w:sz w:val="40"/>
                <w:szCs w:val="40"/>
                <w:lang w:val="uk-UA"/>
              </w:rPr>
              <w:t>Не передбачено</w:t>
            </w:r>
          </w:p>
        </w:tc>
      </w:tr>
      <w:tr w:rsidR="00696945" w:rsidRPr="00754F36" w:rsidTr="00BC1620">
        <w:trPr>
          <w:cnfStyle w:val="000000100000"/>
        </w:trPr>
        <w:tc>
          <w:tcPr>
            <w:cnfStyle w:val="001000000000"/>
            <w:tcW w:w="4503" w:type="dxa"/>
          </w:tcPr>
          <w:p w:rsidR="00696945" w:rsidRPr="00754F36" w:rsidRDefault="00696945" w:rsidP="00BC1620">
            <w:pPr>
              <w:pStyle w:val="a9"/>
              <w:spacing w:before="120" w:after="12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4F3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3. </w:t>
            </w:r>
            <w:r w:rsidRPr="00437234">
              <w:rPr>
                <w:rFonts w:ascii="Times New Roman" w:hAnsi="Times New Roman"/>
                <w:sz w:val="24"/>
                <w:szCs w:val="24"/>
              </w:rPr>
              <w:t>Проектна документація</w:t>
            </w:r>
            <w:r w:rsidRPr="00754F36">
              <w:rPr>
                <w:rFonts w:ascii="Times New Roman" w:hAnsi="Times New Roman"/>
                <w:b w:val="0"/>
                <w:sz w:val="24"/>
                <w:szCs w:val="24"/>
              </w:rPr>
              <w:t xml:space="preserve"> на будівництво, розроблена та затверджена в установленому законодавством порядку:</w:t>
            </w:r>
          </w:p>
          <w:p w:rsidR="00696945" w:rsidRPr="00754F36" w:rsidRDefault="00696945" w:rsidP="00BC1620">
            <w:pPr>
              <w:pStyle w:val="a9"/>
              <w:spacing w:before="120" w:after="12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2267A">
              <w:rPr>
                <w:rFonts w:ascii="Times New Roman" w:hAnsi="Times New Roman"/>
                <w:sz w:val="24"/>
                <w:szCs w:val="24"/>
              </w:rPr>
              <w:t>пояснювальна записка</w:t>
            </w:r>
            <w:r w:rsidRPr="00754F36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696945" w:rsidRPr="00754F36" w:rsidRDefault="00696945" w:rsidP="00BC1620">
            <w:pPr>
              <w:pStyle w:val="a9"/>
              <w:spacing w:before="120" w:after="12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44" w:type="dxa"/>
          </w:tcPr>
          <w:p w:rsidR="00696945" w:rsidRPr="002C4E84" w:rsidRDefault="00696945" w:rsidP="00BC1620">
            <w:pPr>
              <w:spacing w:before="120" w:after="120"/>
              <w:jc w:val="both"/>
              <w:cnfStyle w:val="000000100000"/>
              <w:rPr>
                <w:bCs/>
                <w:sz w:val="24"/>
                <w:szCs w:val="24"/>
                <w:lang w:val="uk-UA"/>
              </w:rPr>
            </w:pPr>
            <w:r w:rsidRPr="002C4E84">
              <w:rPr>
                <w:bCs/>
                <w:sz w:val="24"/>
                <w:szCs w:val="24"/>
                <w:lang w:val="uk-UA"/>
              </w:rPr>
              <w:t xml:space="preserve">4. </w:t>
            </w:r>
            <w:r w:rsidRPr="00437234">
              <w:rPr>
                <w:b/>
                <w:bCs/>
                <w:sz w:val="24"/>
                <w:szCs w:val="24"/>
                <w:lang w:val="uk-UA"/>
              </w:rPr>
              <w:t>Частина проектної документації</w:t>
            </w:r>
            <w:r w:rsidRPr="002C4E84">
              <w:rPr>
                <w:bCs/>
                <w:sz w:val="24"/>
                <w:szCs w:val="24"/>
                <w:lang w:val="uk-UA"/>
              </w:rPr>
              <w:t xml:space="preserve"> у складі:</w:t>
            </w:r>
          </w:p>
          <w:p w:rsidR="00696945" w:rsidRPr="002C4E84" w:rsidRDefault="00696945" w:rsidP="00BC1620">
            <w:pPr>
              <w:spacing w:before="120" w:after="120"/>
              <w:jc w:val="both"/>
              <w:cnfStyle w:val="000000100000"/>
              <w:rPr>
                <w:bCs/>
                <w:sz w:val="24"/>
                <w:szCs w:val="24"/>
                <w:lang w:val="uk-UA"/>
              </w:rPr>
            </w:pPr>
            <w:r w:rsidRPr="002C4E84">
              <w:rPr>
                <w:bCs/>
                <w:sz w:val="24"/>
                <w:szCs w:val="24"/>
                <w:lang w:val="uk-UA"/>
              </w:rPr>
              <w:t xml:space="preserve">1) </w:t>
            </w:r>
            <w:r w:rsidRPr="002C4E84">
              <w:rPr>
                <w:b/>
                <w:bCs/>
                <w:color w:val="C00000"/>
                <w:sz w:val="24"/>
                <w:szCs w:val="24"/>
                <w:lang w:val="uk-UA"/>
              </w:rPr>
              <w:t>для нового будівництва, капітального ремонту та реконструкції</w:t>
            </w:r>
            <w:r w:rsidRPr="002C4E84">
              <w:rPr>
                <w:bCs/>
                <w:sz w:val="24"/>
                <w:szCs w:val="24"/>
                <w:lang w:val="uk-UA"/>
              </w:rPr>
              <w:t>:</w:t>
            </w:r>
          </w:p>
          <w:p w:rsidR="00696945" w:rsidRPr="002C4E84" w:rsidRDefault="00696945" w:rsidP="00696945">
            <w:pPr>
              <w:pStyle w:val="a6"/>
              <w:numPr>
                <w:ilvl w:val="0"/>
                <w:numId w:val="3"/>
              </w:numPr>
              <w:spacing w:before="120" w:after="120"/>
              <w:ind w:left="317" w:hanging="284"/>
              <w:jc w:val="both"/>
              <w:cnfStyle w:val="000000100000"/>
              <w:rPr>
                <w:bCs/>
                <w:sz w:val="24"/>
                <w:szCs w:val="24"/>
                <w:lang w:val="uk-UA"/>
              </w:rPr>
            </w:pPr>
            <w:r w:rsidRPr="002C4E84">
              <w:rPr>
                <w:bCs/>
                <w:sz w:val="24"/>
                <w:szCs w:val="24"/>
                <w:lang w:val="uk-UA"/>
              </w:rPr>
              <w:t>містобудівних умов та обмежень або листа уповноваженого органу містобудування та архітектури про те, що для проектування даного об’єкта будівництва містобудівні умови та обмеження не надаються;</w:t>
            </w:r>
          </w:p>
          <w:p w:rsidR="00696945" w:rsidRPr="00E920BF" w:rsidRDefault="00696945" w:rsidP="00696945">
            <w:pPr>
              <w:pStyle w:val="a6"/>
              <w:numPr>
                <w:ilvl w:val="0"/>
                <w:numId w:val="4"/>
              </w:numPr>
              <w:jc w:val="both"/>
              <w:cnfStyle w:val="00000010000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…</w:t>
            </w:r>
            <w:r w:rsidRPr="00E920BF">
              <w:rPr>
                <w:bCs/>
                <w:sz w:val="24"/>
                <w:szCs w:val="24"/>
                <w:lang w:val="uk-UA"/>
              </w:rPr>
              <w:t>.</w:t>
            </w:r>
          </w:p>
          <w:p w:rsidR="00696945" w:rsidRPr="00754F36" w:rsidRDefault="00696945" w:rsidP="00BC1620">
            <w:pPr>
              <w:jc w:val="both"/>
              <w:cnfStyle w:val="000000100000"/>
              <w:rPr>
                <w:bCs/>
                <w:sz w:val="24"/>
                <w:szCs w:val="24"/>
                <w:lang w:val="uk-UA"/>
              </w:rPr>
            </w:pPr>
          </w:p>
        </w:tc>
      </w:tr>
    </w:tbl>
    <w:p w:rsidR="00696945" w:rsidRDefault="00696945" w:rsidP="00696945">
      <w:pPr>
        <w:rPr>
          <w:color w:val="FF0000"/>
          <w:lang w:val="uk-UA"/>
        </w:rPr>
      </w:pPr>
      <w:r>
        <w:rPr>
          <w:color w:val="FF0000"/>
          <w:lang w:val="uk-UA"/>
        </w:rPr>
        <w:t>…</w:t>
      </w:r>
    </w:p>
    <w:p w:rsidR="00696945" w:rsidRDefault="00696945" w:rsidP="00696945">
      <w:pPr>
        <w:ind w:firstLine="708"/>
        <w:jc w:val="both"/>
        <w:rPr>
          <w:color w:val="5F497A" w:themeColor="accent4" w:themeShade="BF"/>
          <w:lang w:val="uk-UA"/>
        </w:rPr>
      </w:pPr>
      <w:r>
        <w:rPr>
          <w:b/>
          <w:smallCaps/>
          <w:color w:val="5F497A" w:themeColor="accent4" w:themeShade="BF"/>
          <w:sz w:val="32"/>
          <w:szCs w:val="32"/>
          <w:lang w:val="uk-UA"/>
        </w:rPr>
        <w:t>Процедурні питання</w:t>
      </w:r>
      <w:r w:rsidRPr="0094201E">
        <w:rPr>
          <w:color w:val="5F497A" w:themeColor="accent4" w:themeShade="BF"/>
          <w:lang w:val="uk-UA"/>
        </w:rPr>
        <w:t>.</w:t>
      </w:r>
    </w:p>
    <w:p w:rsidR="00696945" w:rsidRDefault="00696945" w:rsidP="00696945">
      <w:pPr>
        <w:ind w:firstLine="708"/>
        <w:jc w:val="both"/>
        <w:rPr>
          <w:color w:val="5F497A" w:themeColor="accent4" w:themeShade="BF"/>
          <w:lang w:val="uk-UA"/>
        </w:rPr>
      </w:pPr>
      <w:r w:rsidRPr="0007266F">
        <w:rPr>
          <w:b/>
          <w:color w:val="5F497A" w:themeColor="accent4" w:themeShade="BF"/>
          <w:lang w:val="uk-UA"/>
        </w:rPr>
        <w:t>Подання документів</w:t>
      </w:r>
      <w:r>
        <w:rPr>
          <w:color w:val="5F497A" w:themeColor="accent4" w:themeShade="BF"/>
          <w:lang w:val="uk-UA"/>
        </w:rPr>
        <w:t xml:space="preserve">. Найголовніше тут – </w:t>
      </w:r>
      <w:r w:rsidRPr="0007266F">
        <w:rPr>
          <w:b/>
          <w:color w:val="5F497A" w:themeColor="accent4" w:themeShade="BF"/>
          <w:lang w:val="uk-UA"/>
        </w:rPr>
        <w:t>усунення</w:t>
      </w:r>
      <w:r>
        <w:rPr>
          <w:color w:val="5F497A" w:themeColor="accent4" w:themeShade="BF"/>
          <w:lang w:val="uk-UA"/>
        </w:rPr>
        <w:t xml:space="preserve"> будь-якого прямого контакту замовників з органами держархбудконтролю всіх рівнів.</w:t>
      </w:r>
    </w:p>
    <w:p w:rsidR="00696945" w:rsidRDefault="00696945" w:rsidP="00696945">
      <w:pPr>
        <w:ind w:firstLine="708"/>
        <w:jc w:val="both"/>
        <w:rPr>
          <w:color w:val="5F497A" w:themeColor="accent4" w:themeShade="BF"/>
          <w:lang w:val="uk-UA"/>
        </w:rPr>
      </w:pPr>
      <w:r>
        <w:rPr>
          <w:color w:val="5F497A" w:themeColor="accent4" w:themeShade="BF"/>
          <w:lang w:val="uk-UA"/>
        </w:rPr>
        <w:t>Подання документів. необхідних для набуття права на виконання будівельних робіт здійснюється трьома способами:</w:t>
      </w:r>
    </w:p>
    <w:p w:rsidR="00696945" w:rsidRPr="0007266F" w:rsidRDefault="00696945" w:rsidP="00696945">
      <w:pPr>
        <w:pStyle w:val="a6"/>
        <w:numPr>
          <w:ilvl w:val="0"/>
          <w:numId w:val="2"/>
        </w:numPr>
        <w:jc w:val="both"/>
        <w:rPr>
          <w:color w:val="5F497A" w:themeColor="accent4" w:themeShade="BF"/>
          <w:lang w:val="uk-UA"/>
        </w:rPr>
      </w:pPr>
      <w:r w:rsidRPr="0007266F">
        <w:rPr>
          <w:color w:val="5F497A" w:themeColor="accent4" w:themeShade="BF"/>
          <w:lang w:val="uk-UA"/>
        </w:rPr>
        <w:t>через центр надання адміністративних послуг</w:t>
      </w:r>
      <w:r>
        <w:rPr>
          <w:color w:val="5F497A" w:themeColor="accent4" w:themeShade="BF"/>
          <w:lang w:val="uk-UA"/>
        </w:rPr>
        <w:t xml:space="preserve"> </w:t>
      </w:r>
      <w:r w:rsidRPr="00354B02">
        <w:rPr>
          <w:i/>
          <w:color w:val="5F497A" w:themeColor="accent4" w:themeShade="BF"/>
          <w:sz w:val="26"/>
          <w:szCs w:val="26"/>
          <w:lang w:val="uk-UA"/>
        </w:rPr>
        <w:t>(у</w:t>
      </w:r>
      <w:r w:rsidRPr="00354B02">
        <w:rPr>
          <w:i/>
          <w:sz w:val="26"/>
          <w:szCs w:val="26"/>
          <w:lang w:val="uk-UA"/>
        </w:rPr>
        <w:t xml:space="preserve"> цьому випадку адміністратор центру надання адміністративних послуг вносить відомості, необхідні для отримання адміністративних послуг у сфері будівництва, до Порталу електронної системи засобами програмного забезпечення Єдиного державного </w:t>
      </w:r>
      <w:proofErr w:type="spellStart"/>
      <w:r w:rsidRPr="00354B02">
        <w:rPr>
          <w:i/>
          <w:sz w:val="26"/>
          <w:szCs w:val="26"/>
          <w:lang w:val="uk-UA"/>
        </w:rPr>
        <w:t>веб-порталу</w:t>
      </w:r>
      <w:proofErr w:type="spellEnd"/>
      <w:r w:rsidRPr="00354B02">
        <w:rPr>
          <w:i/>
          <w:sz w:val="26"/>
          <w:szCs w:val="26"/>
          <w:lang w:val="uk-UA"/>
        </w:rPr>
        <w:t xml:space="preserve"> електронних послуг</w:t>
      </w:r>
      <w:r w:rsidRPr="00354B02">
        <w:rPr>
          <w:sz w:val="26"/>
          <w:szCs w:val="26"/>
          <w:lang w:val="uk-UA"/>
        </w:rPr>
        <w:t>)</w:t>
      </w:r>
      <w:r w:rsidRPr="00354B02">
        <w:rPr>
          <w:color w:val="5F497A" w:themeColor="accent4" w:themeShade="BF"/>
          <w:sz w:val="26"/>
          <w:szCs w:val="26"/>
          <w:lang w:val="uk-UA"/>
        </w:rPr>
        <w:t>;</w:t>
      </w:r>
    </w:p>
    <w:p w:rsidR="00696945" w:rsidRDefault="00696945" w:rsidP="00696945">
      <w:pPr>
        <w:ind w:left="1068"/>
        <w:rPr>
          <w:lang w:val="uk-UA"/>
        </w:rPr>
      </w:pPr>
      <w:r>
        <w:rPr>
          <w:lang w:val="uk-UA"/>
        </w:rPr>
        <w:t>2…</w:t>
      </w:r>
    </w:p>
    <w:p w:rsidR="00696945" w:rsidRDefault="00696945" w:rsidP="00696945">
      <w:pPr>
        <w:ind w:left="1068"/>
        <w:rPr>
          <w:lang w:val="uk-UA"/>
        </w:rPr>
      </w:pPr>
      <w:r>
        <w:rPr>
          <w:lang w:val="uk-UA"/>
        </w:rPr>
        <w:t>….</w:t>
      </w:r>
    </w:p>
    <w:p w:rsidR="00696945" w:rsidRDefault="00696945" w:rsidP="00696945">
      <w:pPr>
        <w:ind w:firstLine="708"/>
        <w:jc w:val="both"/>
        <w:rPr>
          <w:lang w:val="uk-UA"/>
        </w:rPr>
      </w:pPr>
      <w:r>
        <w:rPr>
          <w:lang w:val="uk-UA"/>
        </w:rPr>
        <w:t xml:space="preserve">Суттєво </w:t>
      </w:r>
      <w:proofErr w:type="spellStart"/>
      <w:r>
        <w:rPr>
          <w:lang w:val="uk-UA"/>
        </w:rPr>
        <w:t>переформатовано</w:t>
      </w:r>
      <w:proofErr w:type="spellEnd"/>
      <w:r>
        <w:rPr>
          <w:lang w:val="uk-UA"/>
        </w:rPr>
        <w:t xml:space="preserve"> підстави для відмови у видачі дозволу. Тепер це:</w:t>
      </w:r>
    </w:p>
    <w:p w:rsidR="00696945" w:rsidRPr="00FD3869" w:rsidRDefault="00696945" w:rsidP="00696945">
      <w:pPr>
        <w:pStyle w:val="a6"/>
        <w:numPr>
          <w:ilvl w:val="0"/>
          <w:numId w:val="5"/>
        </w:numPr>
        <w:jc w:val="both"/>
        <w:rPr>
          <w:lang w:val="uk-UA"/>
        </w:rPr>
      </w:pPr>
      <w:r w:rsidRPr="00FD3869">
        <w:rPr>
          <w:lang w:val="uk-UA"/>
        </w:rPr>
        <w:t>невідповідність цільового призначення земельної ділянки;</w:t>
      </w:r>
    </w:p>
    <w:p w:rsidR="00696945" w:rsidRPr="00FD3869" w:rsidRDefault="00696945" w:rsidP="00696945">
      <w:pPr>
        <w:pStyle w:val="a6"/>
        <w:numPr>
          <w:ilvl w:val="0"/>
          <w:numId w:val="5"/>
        </w:numPr>
        <w:jc w:val="both"/>
        <w:rPr>
          <w:lang w:val="uk-UA"/>
        </w:rPr>
      </w:pPr>
      <w:r w:rsidRPr="00FD3869">
        <w:rPr>
          <w:lang w:val="uk-UA"/>
        </w:rPr>
        <w:t>наявність у поданих документах порушень містобудівних умов та обмежень забудови земельної ділянки, зокрема:</w:t>
      </w:r>
    </w:p>
    <w:p w:rsidR="00696945" w:rsidRPr="00FD3869" w:rsidRDefault="00696945" w:rsidP="00696945">
      <w:pPr>
        <w:pStyle w:val="a6"/>
        <w:numPr>
          <w:ilvl w:val="0"/>
          <w:numId w:val="5"/>
        </w:numPr>
        <w:jc w:val="both"/>
        <w:rPr>
          <w:lang w:val="uk-UA"/>
        </w:rPr>
      </w:pPr>
      <w:r w:rsidRPr="00FD3869">
        <w:rPr>
          <w:lang w:val="uk-UA"/>
        </w:rPr>
        <w:t xml:space="preserve">дотримання вимог висотності (блакитна лінія), </w:t>
      </w:r>
    </w:p>
    <w:p w:rsidR="00696945" w:rsidRDefault="00696945" w:rsidP="00696945">
      <w:pPr>
        <w:ind w:left="1068"/>
        <w:rPr>
          <w:lang w:val="uk-UA"/>
        </w:rPr>
      </w:pPr>
      <w:r>
        <w:rPr>
          <w:lang w:val="uk-UA"/>
        </w:rPr>
        <w:t>….</w:t>
      </w:r>
    </w:p>
    <w:p w:rsidR="00696945" w:rsidRPr="00696945" w:rsidRDefault="00696945" w:rsidP="00696945">
      <w:pPr>
        <w:ind w:left="1068"/>
        <w:rPr>
          <w:lang w:val="uk-UA"/>
        </w:rPr>
      </w:pPr>
      <w:r>
        <w:rPr>
          <w:lang w:val="uk-UA"/>
        </w:rPr>
        <w:t>Можна було б сказати «</w:t>
      </w:r>
      <w:r>
        <w:t xml:space="preserve">Долгие продолжительные аплодисменты». </w:t>
      </w:r>
      <w:r>
        <w:rPr>
          <w:lang w:val="uk-UA"/>
        </w:rPr>
        <w:t>Не знаю, чи всі аплодують. Якби кількість позапланових перевірок ще більш не зросла</w:t>
      </w:r>
    </w:p>
    <w:sectPr w:rsidR="00696945" w:rsidRPr="00696945" w:rsidSect="004503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468A"/>
    <w:multiLevelType w:val="hybridMultilevel"/>
    <w:tmpl w:val="DD54688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1F1E58"/>
    <w:multiLevelType w:val="hybridMultilevel"/>
    <w:tmpl w:val="7F2405C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9716442"/>
    <w:multiLevelType w:val="hybridMultilevel"/>
    <w:tmpl w:val="F1C815D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BA55AD"/>
    <w:multiLevelType w:val="hybridMultilevel"/>
    <w:tmpl w:val="0C4E5A1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5B308B1"/>
    <w:multiLevelType w:val="hybridMultilevel"/>
    <w:tmpl w:val="035A0E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425"/>
  <w:characterSpacingControl w:val="doNotCompress"/>
  <w:compat/>
  <w:rsids>
    <w:rsidRoot w:val="00696945"/>
    <w:rsid w:val="004503CA"/>
    <w:rsid w:val="00696945"/>
    <w:rsid w:val="0080314B"/>
    <w:rsid w:val="00924013"/>
    <w:rsid w:val="009F7794"/>
    <w:rsid w:val="00D225DE"/>
    <w:rsid w:val="00D23295"/>
    <w:rsid w:val="00D2658C"/>
    <w:rsid w:val="00EB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45"/>
  </w:style>
  <w:style w:type="paragraph" w:styleId="1">
    <w:name w:val="heading 1"/>
    <w:basedOn w:val="a"/>
    <w:next w:val="a"/>
    <w:link w:val="10"/>
    <w:uiPriority w:val="9"/>
    <w:qFormat/>
    <w:rsid w:val="00D232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D232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232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232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232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D23295"/>
    <w:rPr>
      <w:i/>
      <w:iCs/>
    </w:rPr>
  </w:style>
  <w:style w:type="paragraph" w:styleId="a6">
    <w:name w:val="List Paragraph"/>
    <w:basedOn w:val="a"/>
    <w:uiPriority w:val="34"/>
    <w:qFormat/>
    <w:rsid w:val="00D2329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23295"/>
    <w:rPr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696945"/>
    <w:rPr>
      <w:color w:val="0000FF"/>
      <w:u w:val="single"/>
    </w:rPr>
  </w:style>
  <w:style w:type="paragraph" w:customStyle="1" w:styleId="a9">
    <w:name w:val="Нормальний текст"/>
    <w:basedOn w:val="a"/>
    <w:rsid w:val="00696945"/>
    <w:pPr>
      <w:spacing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table" w:customStyle="1" w:styleId="1-11">
    <w:name w:val="Средний список 1 - Акцент 11"/>
    <w:basedOn w:val="a1"/>
    <w:uiPriority w:val="65"/>
    <w:rsid w:val="0069694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bp.net.ua/issues05/tproduct/160873791-265467789097-koli-zdisnyutsya-derzhavnii-kontrol-za-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3676</Words>
  <Characters>2096</Characters>
  <Application>Microsoft Office Word</Application>
  <DocSecurity>0</DocSecurity>
  <Lines>17</Lines>
  <Paragraphs>11</Paragraphs>
  <ScaleCrop>false</ScaleCrop>
  <Company>Grizli777</Company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</dc:creator>
  <cp:lastModifiedBy>ANET</cp:lastModifiedBy>
  <cp:revision>1</cp:revision>
  <dcterms:created xsi:type="dcterms:W3CDTF">2020-04-03T04:14:00Z</dcterms:created>
  <dcterms:modified xsi:type="dcterms:W3CDTF">2020-04-03T04:28:00Z</dcterms:modified>
</cp:coreProperties>
</file>